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rsidTr="00A45E83">
        <w:tc>
          <w:tcPr>
            <w:tcW w:w="8978" w:type="dxa"/>
          </w:tcPr>
          <w:p w:rsidR="00D27CAF" w:rsidRDefault="000A0A50" w:rsidP="00D64D9B">
            <w:pPr>
              <w:spacing w:after="0" w:line="240" w:lineRule="auto"/>
              <w:jc w:val="center"/>
              <w:rPr>
                <w:rFonts w:ascii="Arial" w:hAnsi="Arial" w:cs="Arial"/>
                <w:b/>
                <w:sz w:val="24"/>
                <w:szCs w:val="28"/>
              </w:rPr>
            </w:pPr>
            <w:bookmarkStart w:id="0" w:name="ente"/>
            <w:bookmarkStart w:id="1" w:name="_GoBack"/>
            <w:bookmarkEnd w:id="0"/>
            <w:bookmarkEnd w:id="1"/>
            <w:r>
              <w:rPr>
                <w:rFonts w:ascii="Arial" w:hAnsi="Arial" w:cs="Arial"/>
                <w:b/>
                <w:sz w:val="24"/>
                <w:szCs w:val="28"/>
              </w:rPr>
              <w:t>DIF SISTEMA PARA EL DESARROLLO INTEGRAL DE LA FAMILIA DEL MUNICIPIO DE OCOTLÁN DIF</w:t>
            </w:r>
          </w:p>
          <w:p w:rsidR="00A45E83" w:rsidRPr="005D285A" w:rsidRDefault="00CC558D" w:rsidP="005D285A">
            <w:pPr>
              <w:spacing w:after="0" w:line="240" w:lineRule="auto"/>
              <w:jc w:val="center"/>
              <w:rPr>
                <w:rFonts w:ascii="Arial" w:hAnsi="Arial" w:cs="Arial"/>
                <w:b/>
                <w:sz w:val="24"/>
                <w:szCs w:val="28"/>
              </w:rPr>
            </w:pPr>
            <w:r w:rsidRPr="00CC558D">
              <w:rPr>
                <w:rFonts w:ascii="Arial" w:hAnsi="Arial" w:cs="Arial"/>
                <w:b/>
                <w:sz w:val="24"/>
                <w:szCs w:val="28"/>
              </w:rPr>
              <w:t>IN</w:t>
            </w:r>
            <w:r>
              <w:rPr>
                <w:rFonts w:ascii="Arial" w:hAnsi="Arial" w:cs="Arial"/>
                <w:b/>
                <w:sz w:val="24"/>
                <w:szCs w:val="28"/>
              </w:rPr>
              <w:t xml:space="preserve">FORME ANUAL DE DESEMPEÑO EN LA </w:t>
            </w:r>
            <w:r w:rsidRPr="00CC558D">
              <w:rPr>
                <w:rFonts w:ascii="Arial" w:hAnsi="Arial" w:cs="Arial"/>
                <w:b/>
                <w:sz w:val="24"/>
                <w:szCs w:val="28"/>
              </w:rPr>
              <w:t>GESTIÓN</w:t>
            </w:r>
          </w:p>
          <w:p w:rsidR="00A45E83" w:rsidRPr="007D77B1" w:rsidRDefault="000A0A50" w:rsidP="00A45E83">
            <w:pPr>
              <w:spacing w:after="0" w:line="240" w:lineRule="auto"/>
              <w:jc w:val="center"/>
              <w:rPr>
                <w:rFonts w:ascii="Arial" w:hAnsi="Arial" w:cs="Arial"/>
                <w:b/>
                <w:sz w:val="24"/>
                <w:szCs w:val="24"/>
              </w:rPr>
            </w:pPr>
            <w:bookmarkStart w:id="2" w:name="periodo"/>
            <w:bookmarkEnd w:id="2"/>
            <w:r>
              <w:rPr>
                <w:rFonts w:ascii="Arial" w:hAnsi="Arial" w:cs="Arial"/>
                <w:b/>
                <w:sz w:val="24"/>
                <w:szCs w:val="24"/>
              </w:rPr>
              <w:t>DEL 1 DE ENERO AL 31 DE DICIEMBRE DE 2022</w:t>
            </w:r>
          </w:p>
        </w:tc>
      </w:tr>
    </w:tbl>
    <w:p w:rsidR="00806603" w:rsidRPr="007326BD" w:rsidRDefault="00806603" w:rsidP="00A45E83">
      <w:pPr>
        <w:spacing w:after="120" w:line="240"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rsidTr="00A45E83">
        <w:tc>
          <w:tcPr>
            <w:tcW w:w="8978" w:type="dxa"/>
          </w:tcPr>
          <w:p w:rsidR="000A0A50" w:rsidRDefault="000A0A50" w:rsidP="000A0A50">
            <w:pPr>
              <w:autoSpaceDE w:val="0"/>
              <w:autoSpaceDN w:val="0"/>
              <w:adjustRightInd w:val="0"/>
              <w:spacing w:after="0" w:line="240" w:lineRule="auto"/>
              <w:jc w:val="both"/>
              <w:rPr>
                <w:rFonts w:ascii="Arial" w:hAnsi="Arial" w:cs="Arial"/>
                <w:sz w:val="23"/>
                <w:szCs w:val="23"/>
                <w:lang w:eastAsia="es-MX"/>
              </w:rPr>
            </w:pPr>
            <w:bookmarkStart w:id="3" w:name="cuerpo"/>
            <w:bookmarkEnd w:id="3"/>
            <w:r>
              <w:rPr>
                <w:rFonts w:ascii="Arial" w:hAnsi="Arial" w:cs="Arial"/>
                <w:sz w:val="23"/>
                <w:szCs w:val="23"/>
                <w:lang w:eastAsia="es-MX"/>
              </w:rPr>
              <w:t>Desde Trabajo Social de DIF Ocotlán organizamos los esfuerzos para la atención de personas que se acercan a la institución en la búsqueda de acompañamiento y apoyo a sus necesidades o requerimientos, mediante un esquema de gestión que las canaliza a nuestros diferentes servicios y/o programas.</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Como estímulo al emprendimiento de las mujeres ocotlenses, creamos el Programa “Transformando Tu Negocio” que entregó recursos por $500 mil pesos en apoyos a negocios y comercios encabezados por mujeres, los cuales puedan invertirlos en fortalecer su oferta de productos y/o servicios, contribuyendo al desarrollo económico del municipio.</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En colaboración con el Instituto de Formación para el Trabajo del Estado de Jalisco (IDEFT), abrimos un catálogo de cursos como repostería, barbería, automaquillaje, uñas y bisutería, entre otros, certificados y avalados ante la SEP para el desarrollo de habilidades que permita a las personas auto emplearse y generar ingresos propios.</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Dentro del Programa “Salud y Bienestar Comunitario” 36 mujeres de la comunidad de San Andrés, concluyeron su curso de “Aplicación de uñas acrílicas”, dando continuidad a su proyecto como profesionales de cultura de belleza y fortaleciendo su formación para el emprendimiento, contribuyendo al desarrollo de su localidad. Mediante el ejercicio de programas de DIF Jalisco y el Sistema de Asistencia Social, hicimos entrega de 133 apoyos asistenciales a 68 hogares ocotlenses, consistentes en despensas, sillas de ruedas (convencionales y especiales), camas de hospital, auxiliares auditivos, así como andaderas para personas mayores y con discapacidad contando así con implementos que les permitan tener un modo de vida más independiente, ayudando a sus cuidados de salud y movilidad, así como a sus terapias de rehabilitación y/o tratamientos médicos.</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 xml:space="preserve">El Centro de Rehabilitación Integral de Ocotlán es un espacio que transforma la vida de muchas personas con alguna discapacidad permanente o transitoria, logrando con su esquema de atención y servicio que puedan regresar lo más pronto posible a una vida funcional. Ampliamos el horario de servicio de CRIO de las 9 de la mañana a las 7 de la noche con lo cual logramos duplicar el número de terapias dadas y triplicar el número de pacientes atendidos. Dada la demanda, adquirimos nuevo equipo como el “Dúo de Ultrasonido con Electroterapia” con el fin de evitar los periodos de espera prolongados de los pacientes y poder otorgar el servicio de una manera más eficiente posible. </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Llevamos a cabo diferentes campañas de salud en temas como cáncer de mama, cultura de la discapacidad, síndrome de Down, optometría, audiometrías y demás.</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 xml:space="preserve">Abrimos el primer “Lactario Municipal” en Ocotlán para promover la instalación de más espacios de este tipo en el ámbito público y privado, organizamos la “Semana de la Lactancia Materna, Ocotlán 2022” convocando a mujeres embarazadas y en periodo de lactancia para concientizar a la población sobre la relevancia e impacto de esta práctica en el desarrollo de todo bebé. </w:t>
            </w:r>
            <w:proofErr w:type="gramStart"/>
            <w:r>
              <w:rPr>
                <w:rFonts w:ascii="Arial" w:hAnsi="Arial" w:cs="Arial"/>
                <w:sz w:val="23"/>
                <w:szCs w:val="23"/>
                <w:lang w:eastAsia="es-MX"/>
              </w:rPr>
              <w:t>un</w:t>
            </w:r>
            <w:proofErr w:type="gramEnd"/>
            <w:r>
              <w:rPr>
                <w:rFonts w:ascii="Arial" w:hAnsi="Arial" w:cs="Arial"/>
                <w:sz w:val="23"/>
                <w:szCs w:val="23"/>
                <w:lang w:eastAsia="es-MX"/>
              </w:rPr>
              <w:t xml:space="preserve"> costo accesible para que el aspecto económico no influya en las decisiones de atención médica. Llevamos a cabo </w:t>
            </w:r>
            <w:r>
              <w:rPr>
                <w:rFonts w:ascii="Arial" w:hAnsi="Arial" w:cs="Arial"/>
                <w:sz w:val="23"/>
                <w:szCs w:val="23"/>
                <w:lang w:eastAsia="es-MX"/>
              </w:rPr>
              <w:lastRenderedPageBreak/>
              <w:t>diferentes campañas de salud en temas como cáncer de mama, cultura de la discapacidad, síndrome de Down,</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proofErr w:type="gramStart"/>
            <w:r>
              <w:rPr>
                <w:rFonts w:ascii="Arial" w:hAnsi="Arial" w:cs="Arial"/>
                <w:sz w:val="23"/>
                <w:szCs w:val="23"/>
                <w:lang w:eastAsia="es-MX"/>
              </w:rPr>
              <w:t>optometría</w:t>
            </w:r>
            <w:proofErr w:type="gramEnd"/>
            <w:r>
              <w:rPr>
                <w:rFonts w:ascii="Arial" w:hAnsi="Arial" w:cs="Arial"/>
                <w:sz w:val="23"/>
                <w:szCs w:val="23"/>
                <w:lang w:eastAsia="es-MX"/>
              </w:rPr>
              <w:t>, audiometrías y demás.</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 xml:space="preserve">Asumimos la causa de las niñas, niños y adolescentes con cáncer organizando el </w:t>
            </w:r>
            <w:proofErr w:type="spellStart"/>
            <w:r>
              <w:rPr>
                <w:rFonts w:ascii="Arial" w:hAnsi="Arial" w:cs="Arial"/>
                <w:sz w:val="23"/>
                <w:szCs w:val="23"/>
                <w:lang w:eastAsia="es-MX"/>
              </w:rPr>
              <w:t>trenzatlon</w:t>
            </w:r>
            <w:proofErr w:type="spellEnd"/>
            <w:r>
              <w:rPr>
                <w:rFonts w:ascii="Arial" w:hAnsi="Arial" w:cs="Arial"/>
                <w:sz w:val="23"/>
                <w:szCs w:val="23"/>
                <w:lang w:eastAsia="es-MX"/>
              </w:rPr>
              <w:t>, “Trenzas de Corazón” reuniendo 78 trenzas y renovamos el convenio con la asociación civil, “Nariz Roja” para promover esta y otras acciones enfocadas en apoyar a los pacientes con cáncer y sus familias.</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 xml:space="preserve">Actualmente, 638 hogares ocotlense reciben apoyos alimentarios, esto a través de los programas PAAP (Programa de Asistencia Alimentaria a Personas de Atención Prioritaria) y "Primeros Mil Días de Vida”, con cobertura especialmente a personas mayores, con discapacidad, carencia alimentaria, mujeres embarazadas y bebés en periodo de lactancia que a la fecha ya han recibido en forma conjunta alrededor de 5,104 despensas. Incorporamos a ocho (8) nuevas escuelas ocotlenses al “Programa de Desayunos Escolares”, beneficiando así a 4,385 alumnos de un total de 69 planteles educativos, entre localidades y la cabecera municipal, que ya cuentan con este apoyo para favorecer la nutrición del alumnado y su desempeño académico. De enero a la fecha se han servido más de 530,585 desayunos escolares. </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Para reforzar las entregas de despensas e insumos de desayunos en las comunidades y gracias a las gestiones de la directiva, recibimos en donación la rehabilitación de la caja de estacas de la unidad base.</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A la fecha, 323 personas mayores, (90 más que en 2021), enfermas o con discapacidad, reciben de lunes a viernes su desayuno y comida a través de nuestros cinco Comedores</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 xml:space="preserve">Asistenciales ubicados en la colonia El Carmen, en Casa DIA y la comunidad de San Martin de </w:t>
            </w:r>
            <w:proofErr w:type="spellStart"/>
            <w:r>
              <w:rPr>
                <w:rFonts w:ascii="Arial" w:hAnsi="Arial" w:cs="Arial"/>
                <w:sz w:val="23"/>
                <w:szCs w:val="23"/>
                <w:lang w:eastAsia="es-MX"/>
              </w:rPr>
              <w:t>Zula</w:t>
            </w:r>
            <w:proofErr w:type="spellEnd"/>
            <w:r>
              <w:rPr>
                <w:rFonts w:ascii="Arial" w:hAnsi="Arial" w:cs="Arial"/>
                <w:sz w:val="23"/>
                <w:szCs w:val="23"/>
                <w:lang w:eastAsia="es-MX"/>
              </w:rPr>
              <w:t xml:space="preserve"> para contribuir a su alimentación diaria y favorecer su salud física y mental. Al año, servimos un total de 74,200 raciones de alimento con los esfuerzos conjuntos de cada comedor.</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Como parte del servicio, contamos con la ruta de entrega que visita 51 hogares en un recorrido de 50 km diarios para que las personas mayores que no pueden trasladarse al comedor reciban su alimento de forma puntual.</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Reforzamos el área de atención psicológica con la habilitación de los servicios de terapia de lenguaje (para corregir problemas del habla principalmente en menores y mejorar la comunicación, siendo el único organismo público que lo brinda), consulta en psicología familiar y terapia grupal, consolidando el liderazgo de la institución en este ramo.</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Implementamos el “Taller sobre Manejo de Emociones” dirigido a plantillas laboral es de organizaciones empresas, públicas y privadas, con el fin de fortalecer el bienestar emocional de las y los trabajadores, repercutiendo en su desempeño y habilidades, así como cuidar su entorno familiar y social a través de mejores relaciones psicosociales.</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Organizamos la primera “Feria de la Salud Mental” con la participaron de diferentes profesionales de la</w:t>
            </w:r>
            <w:r>
              <w:rPr>
                <w:rFonts w:ascii="Arial" w:hAnsi="Arial" w:cs="Arial"/>
                <w:sz w:val="23"/>
                <w:szCs w:val="23"/>
                <w:lang w:eastAsia="es-MX"/>
              </w:rPr>
              <w:tab/>
              <w:t>psicología y la psiquiatría, quienes</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proofErr w:type="gramStart"/>
            <w:r>
              <w:rPr>
                <w:rFonts w:ascii="Arial" w:hAnsi="Arial" w:cs="Arial"/>
                <w:sz w:val="23"/>
                <w:szCs w:val="23"/>
                <w:lang w:eastAsia="es-MX"/>
              </w:rPr>
              <w:t>compartieron</w:t>
            </w:r>
            <w:proofErr w:type="gramEnd"/>
            <w:r>
              <w:rPr>
                <w:rFonts w:ascii="Arial" w:hAnsi="Arial" w:cs="Arial"/>
                <w:sz w:val="23"/>
                <w:szCs w:val="23"/>
                <w:lang w:eastAsia="es-MX"/>
              </w:rPr>
              <w:t xml:space="preserve"> con los asistentes datos, técnicas y testimonios para cuidar su equilibrio emocional.</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 xml:space="preserve">Recibimos la visita de la Ludoteca Móvil “El Tren de los Valores” la cual recorrió seis diferentes comunidades y la cabecera municipal en la denominada “Ruta del Aprendizaje y la Diversión” en donde las niñas y niños pudieron disfrutar de cada uno </w:t>
            </w:r>
            <w:r>
              <w:rPr>
                <w:rFonts w:ascii="Arial" w:hAnsi="Arial" w:cs="Arial"/>
                <w:sz w:val="23"/>
                <w:szCs w:val="23"/>
                <w:lang w:eastAsia="es-MX"/>
              </w:rPr>
              <w:lastRenderedPageBreak/>
              <w:t>de sus vagones con diferentes actividades recreativas y educativas para fortalecer su sentido social y promover valores y principios universales.</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Gestionamos recursos por $185 mil pesos del “Proyecto 001 Situación de Calle” de Ciudad Niñez para el requipamiento y mejoramiento de la Ludoteca “Juego, Aprendo y Me Divierto” misma que reubicaremos al Centro de Desarrollo Comunitario (CDC) de El Rosario en un espacio más amplio, con nuevas actividades y la capacidad de recibir a más usuarios, principalmente niñas, niños y adolescentes en riesgo o en situación de calle.</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Dentro del CDC El Rosario reactivamos las diferentes actividades como lo son la Sala de Cómputo y Audio Visual, Rondalla y Club de Tareas dirigidos especialmente en la atención del mismo grupo de riesgo.</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 xml:space="preserve">Obtuvimos por primera vez acreditación “Luz Verde” por parte del Sistema DIF Nacional para el funcionamiento de nuestras estancias infantiles que garantiza la capacitación profesional de personal operativo y docente, así como la cobertura de todas las necesidades básicas de higiene, infraestructura y de atención para que las y los becarios tengan un máximo desarrollo integral, físico y emocional. </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Damos el seguimiento correspondiente a siete menores de edad denominados “pupilos” y de otros 65 en resguardo con alguna red familiar, además efectuamos todo el procedimiento legal para otorgarle identidad a la pequeña nonata “Esperanza N.” y llevar a cabo sus exequias.</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Uno de los resultados más significativos fue la conclusión del taller: "Mujeres rompiendo cadenas para una vida libre de violencia", por parte de ocho mujeres víctimas de violencia como parte de su proceso de acompañamiento emocional para superar esa etapa de su vida y empoderarse.</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Participamos de capacitaciones en materia de formas de violencia y funcionamiento de las UAVIFAM por parte de personal de Sistema DIF Jalisco y el Consejo Estatal para la Prevención y Atención de la Violencia Intrafamiliar (CEPAVI).</w:t>
            </w: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Recientemente gestionamos y fuimos sede regional de la capacitación “Atención a NNA, hijas e hijos de Madres Victimas de Feminicidios” para brindar un servicio más especializado a las personas y acompañarles en su proceso de acceso a la justicia y superación.</w:t>
            </w:r>
          </w:p>
          <w:p w:rsidR="000A0A50" w:rsidRDefault="000A0A50" w:rsidP="000A0A50">
            <w:pPr>
              <w:autoSpaceDE w:val="0"/>
              <w:autoSpaceDN w:val="0"/>
              <w:adjustRightInd w:val="0"/>
              <w:spacing w:after="0" w:line="240" w:lineRule="auto"/>
              <w:jc w:val="both"/>
              <w:rPr>
                <w:rFonts w:ascii="Arial" w:hAnsi="Arial" w:cs="Arial"/>
                <w:sz w:val="23"/>
                <w:szCs w:val="23"/>
                <w:lang w:val="en-US" w:eastAsia="es-MX"/>
              </w:rPr>
            </w:pPr>
          </w:p>
          <w:p w:rsidR="000A0A50" w:rsidRDefault="000A0A50" w:rsidP="000A0A50">
            <w:pPr>
              <w:autoSpaceDE w:val="0"/>
              <w:autoSpaceDN w:val="0"/>
              <w:adjustRightInd w:val="0"/>
              <w:spacing w:after="0" w:line="240" w:lineRule="auto"/>
              <w:jc w:val="both"/>
              <w:rPr>
                <w:rFonts w:ascii="Arial" w:hAnsi="Arial" w:cs="Arial"/>
                <w:sz w:val="23"/>
                <w:szCs w:val="23"/>
                <w:lang w:eastAsia="es-MX"/>
              </w:rPr>
            </w:pPr>
            <w:r>
              <w:rPr>
                <w:rFonts w:ascii="Arial" w:hAnsi="Arial" w:cs="Arial"/>
                <w:sz w:val="23"/>
                <w:szCs w:val="23"/>
                <w:lang w:eastAsia="es-MX"/>
              </w:rPr>
              <w:t>Organizamos la primera y única en la región, “Capacitación en materia de Prevención de Accidentes y Primeros Auxilios en la Práctica Deportiva”, con la participación de variedad de ponentes en temas como lesiones, acondicionamiento físico, atención inmediata y otros temas relacionados a la medicina deportiva. Además, brindamos cursos en material de “Prevención de Accidentes en el Hogar” dirigido principalmente a personas mayores y/o con discapacidad las cuales se dieron a usuarios de espacios de DIF como Casa DIA y CRIO.</w:t>
            </w:r>
          </w:p>
          <w:p w:rsidR="000A0A50" w:rsidRDefault="000A0A50" w:rsidP="000A0A50">
            <w:pPr>
              <w:autoSpaceDE w:val="0"/>
              <w:autoSpaceDN w:val="0"/>
              <w:adjustRightInd w:val="0"/>
              <w:spacing w:after="0" w:line="240" w:lineRule="auto"/>
              <w:rPr>
                <w:rFonts w:ascii="Arial" w:hAnsi="Arial" w:cs="Arial"/>
                <w:sz w:val="23"/>
                <w:szCs w:val="23"/>
                <w:lang w:val="es-ES" w:eastAsia="es-MX"/>
              </w:rPr>
            </w:pPr>
          </w:p>
          <w:p w:rsidR="00A45E83" w:rsidRPr="007326BD" w:rsidRDefault="00A45E83" w:rsidP="00A45E83">
            <w:pPr>
              <w:spacing w:after="0" w:line="240" w:lineRule="auto"/>
              <w:jc w:val="both"/>
              <w:rPr>
                <w:rFonts w:ascii="Arial" w:hAnsi="Arial" w:cs="Arial"/>
                <w:sz w:val="24"/>
                <w:szCs w:val="24"/>
              </w:rPr>
            </w:pPr>
          </w:p>
        </w:tc>
      </w:tr>
    </w:tbl>
    <w:p w:rsidR="00A45E83" w:rsidRDefault="00A45E83">
      <w:pPr>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28"/>
        <w:gridCol w:w="1261"/>
        <w:gridCol w:w="3839"/>
      </w:tblGrid>
      <w:tr w:rsidR="00900B0E" w:rsidRPr="001F0913" w:rsidTr="00900B0E">
        <w:tc>
          <w:tcPr>
            <w:tcW w:w="3794" w:type="dxa"/>
            <w:shd w:val="clear" w:color="auto" w:fill="auto"/>
          </w:tcPr>
          <w:p w:rsidR="00900B0E" w:rsidRPr="001F0913" w:rsidRDefault="00F568DD" w:rsidP="00B07C90">
            <w:pPr>
              <w:tabs>
                <w:tab w:val="center" w:pos="1789"/>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259715</wp:posOffset>
                      </wp:positionV>
                      <wp:extent cx="2295525" cy="0"/>
                      <wp:effectExtent l="9525" t="6350" r="952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40F99AB"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r w:rsidR="00B07C90">
              <w:rPr>
                <w:rFonts w:ascii="Arial" w:hAnsi="Arial" w:cs="Arial"/>
                <w:sz w:val="20"/>
              </w:rPr>
              <w:tab/>
            </w:r>
          </w:p>
        </w:tc>
        <w:tc>
          <w:tcPr>
            <w:tcW w:w="1276" w:type="dxa"/>
            <w:shd w:val="clear" w:color="auto" w:fill="auto"/>
          </w:tcPr>
          <w:p w:rsidR="00900B0E" w:rsidRPr="001F0913" w:rsidRDefault="00B07C90" w:rsidP="00B07C90">
            <w:pPr>
              <w:tabs>
                <w:tab w:val="left" w:pos="634"/>
              </w:tabs>
              <w:rPr>
                <w:rFonts w:ascii="Arial" w:hAnsi="Arial" w:cs="Arial"/>
                <w:sz w:val="20"/>
              </w:rPr>
            </w:pPr>
            <w:r>
              <w:rPr>
                <w:rFonts w:ascii="Arial" w:hAnsi="Arial" w:cs="Arial"/>
                <w:sz w:val="20"/>
              </w:rPr>
              <w:tab/>
            </w:r>
          </w:p>
        </w:tc>
        <w:tc>
          <w:tcPr>
            <w:tcW w:w="3908" w:type="dxa"/>
            <w:shd w:val="clear" w:color="auto" w:fill="auto"/>
          </w:tcPr>
          <w:p w:rsidR="00900B0E" w:rsidRPr="001F0913" w:rsidRDefault="00F568DD" w:rsidP="00B07C90">
            <w:pPr>
              <w:tabs>
                <w:tab w:val="center" w:pos="1846"/>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259715</wp:posOffset>
                      </wp:positionV>
                      <wp:extent cx="2295525" cy="0"/>
                      <wp:effectExtent l="9525" t="635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276BBD2"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r w:rsidR="00B07C90">
              <w:rPr>
                <w:rFonts w:ascii="Arial" w:hAnsi="Arial" w:cs="Arial"/>
                <w:sz w:val="20"/>
              </w:rPr>
              <w:tab/>
            </w:r>
          </w:p>
        </w:tc>
      </w:tr>
      <w:tr w:rsidR="00900B0E" w:rsidRPr="001F0913" w:rsidTr="00900B0E">
        <w:tc>
          <w:tcPr>
            <w:tcW w:w="3794" w:type="dxa"/>
            <w:shd w:val="clear" w:color="auto" w:fill="auto"/>
          </w:tcPr>
          <w:p w:rsidR="00900B0E" w:rsidRPr="001A2522" w:rsidRDefault="000A0A50" w:rsidP="00BE3AB1">
            <w:pPr>
              <w:jc w:val="center"/>
              <w:rPr>
                <w:rFonts w:ascii="Arial" w:hAnsi="Arial" w:cs="Arial"/>
                <w:b/>
                <w:sz w:val="20"/>
              </w:rPr>
            </w:pPr>
            <w:bookmarkStart w:id="4" w:name="firma1"/>
            <w:bookmarkEnd w:id="4"/>
            <w:r>
              <w:rPr>
                <w:rFonts w:ascii="Arial" w:hAnsi="Arial" w:cs="Arial"/>
                <w:b/>
                <w:sz w:val="20"/>
              </w:rPr>
              <w:t>EFRAIN LICONA GODINEZ</w:t>
            </w:r>
          </w:p>
          <w:p w:rsidR="00900B0E" w:rsidRPr="001A2522" w:rsidRDefault="000A0A50" w:rsidP="001A2522">
            <w:pPr>
              <w:jc w:val="center"/>
              <w:rPr>
                <w:rFonts w:ascii="Arial" w:hAnsi="Arial" w:cs="Arial"/>
                <w:b/>
                <w:sz w:val="20"/>
              </w:rPr>
            </w:pPr>
            <w:bookmarkStart w:id="5" w:name="Cargo1"/>
            <w:bookmarkEnd w:id="5"/>
            <w:r>
              <w:rPr>
                <w:rFonts w:ascii="Arial" w:hAnsi="Arial" w:cs="Arial"/>
                <w:b/>
                <w:sz w:val="20"/>
              </w:rPr>
              <w:t>DIRECTOR</w:t>
            </w:r>
          </w:p>
        </w:tc>
        <w:tc>
          <w:tcPr>
            <w:tcW w:w="1276" w:type="dxa"/>
            <w:shd w:val="clear" w:color="auto" w:fill="auto"/>
          </w:tcPr>
          <w:p w:rsidR="00900B0E" w:rsidRPr="001F0913" w:rsidRDefault="00B07C90" w:rsidP="00B07C90">
            <w:pPr>
              <w:tabs>
                <w:tab w:val="left" w:pos="668"/>
              </w:tabs>
              <w:rPr>
                <w:rFonts w:ascii="Arial" w:hAnsi="Arial" w:cs="Arial"/>
                <w:sz w:val="20"/>
              </w:rPr>
            </w:pPr>
            <w:r>
              <w:rPr>
                <w:rFonts w:ascii="Arial" w:hAnsi="Arial" w:cs="Arial"/>
                <w:sz w:val="20"/>
              </w:rPr>
              <w:tab/>
            </w:r>
          </w:p>
        </w:tc>
        <w:tc>
          <w:tcPr>
            <w:tcW w:w="3908" w:type="dxa"/>
            <w:shd w:val="clear" w:color="auto" w:fill="auto"/>
          </w:tcPr>
          <w:p w:rsidR="00900B0E" w:rsidRPr="001A2522" w:rsidRDefault="000A0A50" w:rsidP="00BE3AB1">
            <w:pPr>
              <w:jc w:val="center"/>
              <w:rPr>
                <w:rFonts w:ascii="Arial" w:hAnsi="Arial" w:cs="Arial"/>
                <w:b/>
                <w:sz w:val="20"/>
              </w:rPr>
            </w:pPr>
            <w:bookmarkStart w:id="6" w:name="firma2"/>
            <w:bookmarkEnd w:id="6"/>
            <w:r>
              <w:rPr>
                <w:rFonts w:ascii="Arial" w:hAnsi="Arial" w:cs="Arial"/>
                <w:b/>
                <w:sz w:val="20"/>
              </w:rPr>
              <w:t>JORGE LABRA AMEZCUA</w:t>
            </w:r>
          </w:p>
          <w:p w:rsidR="00900B0E" w:rsidRPr="001A2522" w:rsidRDefault="000A0A50" w:rsidP="00B07C90">
            <w:pPr>
              <w:jc w:val="center"/>
              <w:rPr>
                <w:rFonts w:ascii="Arial" w:hAnsi="Arial" w:cs="Arial"/>
                <w:b/>
                <w:sz w:val="20"/>
              </w:rPr>
            </w:pPr>
            <w:bookmarkStart w:id="7" w:name="Cargo2"/>
            <w:bookmarkEnd w:id="7"/>
            <w:r>
              <w:rPr>
                <w:rFonts w:ascii="Arial" w:hAnsi="Arial" w:cs="Arial"/>
                <w:b/>
                <w:sz w:val="20"/>
              </w:rPr>
              <w:t>ENCARGADO DE LA TESORERIA</w:t>
            </w:r>
          </w:p>
        </w:tc>
      </w:tr>
    </w:tbl>
    <w:p w:rsidR="00002A2C" w:rsidRDefault="00002A2C">
      <w:pPr>
        <w:rPr>
          <w:rFonts w:ascii="Arial" w:hAnsi="Arial" w:cs="Arial"/>
        </w:rPr>
      </w:pPr>
    </w:p>
    <w:p w:rsidR="00900B0E" w:rsidRPr="00721735" w:rsidRDefault="00900B0E" w:rsidP="00DB3177">
      <w:pPr>
        <w:jc w:val="center"/>
        <w:rPr>
          <w:rFonts w:ascii="C39HrP24DhTt" w:hAnsi="C39HrP24DhTt" w:cs="Arial"/>
          <w:sz w:val="44"/>
          <w:szCs w:val="44"/>
        </w:rPr>
      </w:pPr>
    </w:p>
    <w:p w:rsidR="00900B0E" w:rsidRDefault="00900B0E" w:rsidP="002A42CF">
      <w:pPr>
        <w:rPr>
          <w:rFonts w:ascii="Arial" w:hAnsi="Arial" w:cs="Arial"/>
          <w:sz w:val="24"/>
          <w:szCs w:val="24"/>
        </w:rPr>
      </w:pPr>
    </w:p>
    <w:p w:rsidR="002A42CF" w:rsidRPr="00076359" w:rsidRDefault="000A0A50" w:rsidP="002A42CF">
      <w:pPr>
        <w:jc w:val="center"/>
        <w:rPr>
          <w:rFonts w:ascii="C39HrP24DhTt" w:hAnsi="C39HrP24DhTt" w:cs="Arial"/>
          <w:sz w:val="44"/>
          <w:szCs w:val="44"/>
        </w:rPr>
      </w:pPr>
      <w:bookmarkStart w:id="8" w:name="codigo"/>
      <w:bookmarkEnd w:id="8"/>
      <w:r>
        <w:rPr>
          <w:rFonts w:ascii="C39HrP24DhTt" w:hAnsi="C39HrP24DhTt" w:cs="Arial"/>
          <w:sz w:val="44"/>
          <w:szCs w:val="44"/>
        </w:rPr>
        <w:t>ASEJ2022-13-19-07-2023-1</w:t>
      </w:r>
    </w:p>
    <w:p w:rsidR="002A42CF" w:rsidRDefault="002A42CF" w:rsidP="00002A2C">
      <w:pPr>
        <w:rPr>
          <w:rFonts w:ascii="Arial" w:hAnsi="Arial" w:cs="Arial"/>
          <w:sz w:val="24"/>
          <w:szCs w:val="24"/>
        </w:rPr>
      </w:pPr>
    </w:p>
    <w:p w:rsidR="00002A2C" w:rsidRPr="00B157EC" w:rsidRDefault="00002A2C" w:rsidP="00002A2C">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002A2C" w:rsidRPr="007326BD" w:rsidRDefault="00002A2C">
      <w:pPr>
        <w:rPr>
          <w:rFonts w:ascii="Arial" w:hAnsi="Arial" w:cs="Arial"/>
        </w:rPr>
      </w:pPr>
    </w:p>
    <w:sectPr w:rsidR="00002A2C" w:rsidRPr="007326BD" w:rsidSect="00806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39HrP24DhT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02A2C"/>
    <w:rsid w:val="00076359"/>
    <w:rsid w:val="000A0A50"/>
    <w:rsid w:val="000D0F62"/>
    <w:rsid w:val="001A2522"/>
    <w:rsid w:val="001F207A"/>
    <w:rsid w:val="00203DB3"/>
    <w:rsid w:val="002A42CF"/>
    <w:rsid w:val="0040191D"/>
    <w:rsid w:val="005D285A"/>
    <w:rsid w:val="007326BD"/>
    <w:rsid w:val="007D77B1"/>
    <w:rsid w:val="00806603"/>
    <w:rsid w:val="00900B0E"/>
    <w:rsid w:val="00A45E83"/>
    <w:rsid w:val="00A74DC0"/>
    <w:rsid w:val="00B07C90"/>
    <w:rsid w:val="00BE3AB1"/>
    <w:rsid w:val="00CC558D"/>
    <w:rsid w:val="00D27CAF"/>
    <w:rsid w:val="00D64D9B"/>
    <w:rsid w:val="00DB3177"/>
    <w:rsid w:val="00E9372A"/>
    <w:rsid w:val="00F56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11F27-BE0C-42CC-A550-C708103D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247F9-C105-4C6F-92E3-655CBD7E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8132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Cuenta Microsoft</cp:lastModifiedBy>
  <cp:revision>2</cp:revision>
  <dcterms:created xsi:type="dcterms:W3CDTF">2023-08-18T17:36:00Z</dcterms:created>
  <dcterms:modified xsi:type="dcterms:W3CDTF">2023-08-18T17:36:00Z</dcterms:modified>
</cp:coreProperties>
</file>