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47" w:rsidRDefault="007E0F47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247775" cy="701028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685" cy="7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B8" w:rsidRDefault="007E0F47" w:rsidP="007E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SISTEMA PARA EL DESARROLLO INTEGRAL DE LA FAMILIA DEL</w:t>
      </w:r>
    </w:p>
    <w:p w:rsidR="00124AD3" w:rsidRPr="00BF5137" w:rsidRDefault="007E0F47" w:rsidP="00BF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MUNICIPIO DE OCOTLÁN, JALISCO</w:t>
      </w:r>
    </w:p>
    <w:p w:rsidR="00197F84" w:rsidRDefault="00197F84" w:rsidP="00197F84">
      <w:pPr>
        <w:jc w:val="center"/>
        <w:rPr>
          <w:b/>
        </w:rPr>
      </w:pPr>
      <w:r>
        <w:rPr>
          <w:b/>
        </w:rPr>
        <w:t>RELACIÓN DE CHEQUES Y TRANSFERENCIAS</w:t>
      </w:r>
    </w:p>
    <w:p w:rsidR="00197F84" w:rsidRDefault="00197F84" w:rsidP="00124AD3">
      <w:pPr>
        <w:jc w:val="right"/>
        <w:rPr>
          <w:b/>
        </w:rPr>
      </w:pPr>
    </w:p>
    <w:p w:rsidR="00C90BC8" w:rsidRDefault="00834527" w:rsidP="00197F84">
      <w:pPr>
        <w:jc w:val="right"/>
        <w:rPr>
          <w:b/>
        </w:rPr>
      </w:pPr>
      <w:r>
        <w:rPr>
          <w:b/>
        </w:rPr>
        <w:t>MARZO</w:t>
      </w:r>
      <w:r w:rsidR="00C90BC8">
        <w:rPr>
          <w:b/>
        </w:rPr>
        <w:t xml:space="preserve">  2022</w:t>
      </w:r>
    </w:p>
    <w:p w:rsidR="00BF5137" w:rsidRDefault="00197F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CUENTA SUBSIDIO</w:t>
      </w:r>
    </w:p>
    <w:tbl>
      <w:tblPr>
        <w:tblW w:w="134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02"/>
        <w:gridCol w:w="5187"/>
        <w:gridCol w:w="1235"/>
        <w:gridCol w:w="5186"/>
      </w:tblGrid>
      <w:tr w:rsidR="003B2A0F" w:rsidRPr="00FE5B76" w:rsidTr="003518E0">
        <w:trPr>
          <w:gridAfter w:val="1"/>
          <w:wAfter w:w="5190" w:type="dxa"/>
          <w:trHeight w:val="624"/>
        </w:trPr>
        <w:tc>
          <w:tcPr>
            <w:tcW w:w="1802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000000" w:fill="800000"/>
            <w:vAlign w:val="center"/>
            <w:hideMark/>
          </w:tcPr>
          <w:p w:rsidR="003B2A0F" w:rsidRPr="00FE5B76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CHEQUE</w:t>
            </w:r>
          </w:p>
        </w:tc>
        <w:tc>
          <w:tcPr>
            <w:tcW w:w="519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000000" w:fill="800000"/>
            <w:vAlign w:val="center"/>
            <w:hideMark/>
          </w:tcPr>
          <w:p w:rsidR="003B2A0F" w:rsidRPr="00FE5B76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PAGASE A:</w:t>
            </w:r>
          </w:p>
        </w:tc>
        <w:tc>
          <w:tcPr>
            <w:tcW w:w="1228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000000" w:fill="800000"/>
            <w:vAlign w:val="center"/>
            <w:hideMark/>
          </w:tcPr>
          <w:p w:rsidR="003B2A0F" w:rsidRPr="00FE5B76" w:rsidRDefault="003B2A0F" w:rsidP="00FE5B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MONTO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318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97723D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Estefanía Gutiérrez Maldonado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$8,000.00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319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$5,000.00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320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Martha León Navarrete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$6,500.00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Oscar Ibarra Arreola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706A5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$1,160.00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76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$1,1</w:t>
            </w:r>
            <w:r w:rsidR="008706A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Emilia Muñiz González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$1,200.00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323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Paola Vázquez López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$1,950.00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324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Fátima del Rocío Navarro Vázquez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$892.00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325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María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Idelia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Borrego Sánchez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$998.16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326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Super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Gas de los Altos, S.A. de C.V.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$5,730.57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327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Mauricio González Gómez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$9,146.12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328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Hugo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Ivan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Salcedo López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$9,265.00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329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Lourdes Lorena Sánchez Ibarra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$638.00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330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Oswaldo Montes Flores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D742EC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$4,77</w:t>
            </w:r>
            <w:r w:rsidR="000477C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4.00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Mauricio González Gómez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$7,652.89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</w:t>
            </w:r>
            <w:r w:rsidR="003518E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Extin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México, S.A. de C.V.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477C0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$2,093.80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Daniel Ramírez Villaseñor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$12,934.00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333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Daniel Ramírez Villaseñor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$9,734.00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334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Daniel Ramírez Villaseñor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$6,510.94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335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Luis Roberto Morales Medina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$12,760.00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335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Víctor Manuel Ramírez Jaramillo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$5,383.00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337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Carlos Roberto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Villasano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Barrón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$2,601.6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338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Radio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Dipsa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, S.A. de C. V.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$3,637.00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Nómina del 1 al 15 de abril 2022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$299,301.60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Valentín Adame Castellanos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$1,392.00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339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$2,082.00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340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Karla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Merari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López </w:t>
            </w:r>
            <w:r w:rsidR="00F156C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Sahagún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$4,840.00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Zayra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Berenice Gallegos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Ortíz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$20,000.00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Gasolinera Los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Pirules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, S.A. de C.V.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$24,000.00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$14,922.35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343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$12,975.30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344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María Celeste Hernández Navarro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$6,034.00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345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Yohana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Ramírez Sánchez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$4,500.00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346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Rodolfo González García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$8,649.76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347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Diego Ulises Flores Cervantes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$2,678.67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348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Víctor Manuel Ramírez Jaramillo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$5,383.00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349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Carlos Roberto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Villasano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Barrón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$2601.60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Nómina del 16 al 30 abril 2022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$295,856.20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Martha María Navarro Castellanos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$1,740.00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Juan Filiberto León Meza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$3,000.00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350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Efraín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Lícona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 Godínez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$3,276.90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351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Blanca Isela Evangelista Aguilar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$22,467.15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518E0" w:rsidRPr="003B2A0F" w:rsidTr="003518E0">
        <w:trPr>
          <w:trHeight w:val="324"/>
        </w:trPr>
        <w:tc>
          <w:tcPr>
            <w:tcW w:w="1802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  <w:hideMark/>
          </w:tcPr>
          <w:p w:rsidR="003518E0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3B2A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  <w:hideMark/>
          </w:tcPr>
          <w:p w:rsidR="003518E0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3B2A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  <w:hideMark/>
          </w:tcPr>
          <w:p w:rsidR="003518E0" w:rsidRPr="003B2A0F" w:rsidRDefault="003518E0" w:rsidP="00DD51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vAlign w:val="center"/>
          </w:tcPr>
          <w:p w:rsidR="003518E0" w:rsidRPr="003B2A0F" w:rsidRDefault="003518E0" w:rsidP="00DD51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518E0" w:rsidRPr="003B2A0F" w:rsidTr="003518E0">
        <w:trPr>
          <w:trHeight w:val="324"/>
        </w:trPr>
        <w:tc>
          <w:tcPr>
            <w:tcW w:w="1802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</w:tcPr>
          <w:p w:rsidR="003518E0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</w:tcPr>
          <w:p w:rsidR="003518E0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</w:tcPr>
          <w:p w:rsidR="003518E0" w:rsidRPr="00D742EC" w:rsidRDefault="00D742EC" w:rsidP="00DD51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</w:pPr>
            <w:r w:rsidRPr="00D742EC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>$ 855,361.61</w:t>
            </w:r>
          </w:p>
        </w:tc>
        <w:tc>
          <w:tcPr>
            <w:tcW w:w="5190" w:type="dxa"/>
            <w:vAlign w:val="center"/>
          </w:tcPr>
          <w:p w:rsidR="003518E0" w:rsidRPr="003B2A0F" w:rsidRDefault="003518E0" w:rsidP="00DD51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B2A0F" w:rsidRPr="003B2A0F" w:rsidRDefault="003B2A0F">
      <w:pPr>
        <w:rPr>
          <w:b/>
        </w:rPr>
      </w:pPr>
    </w:p>
    <w:p w:rsidR="005540FD" w:rsidRDefault="005540FD"/>
    <w:p w:rsidR="00BF5137" w:rsidRDefault="00BF5137"/>
    <w:sectPr w:rsidR="00BF5137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40FD"/>
    <w:rsid w:val="00007D13"/>
    <w:rsid w:val="000477C0"/>
    <w:rsid w:val="00124AD3"/>
    <w:rsid w:val="00150C9E"/>
    <w:rsid w:val="00197F84"/>
    <w:rsid w:val="00343CCF"/>
    <w:rsid w:val="003518E0"/>
    <w:rsid w:val="003A2B46"/>
    <w:rsid w:val="003B2A0F"/>
    <w:rsid w:val="005540FD"/>
    <w:rsid w:val="005B3B92"/>
    <w:rsid w:val="00657EC2"/>
    <w:rsid w:val="007B0B70"/>
    <w:rsid w:val="007E0F47"/>
    <w:rsid w:val="00834527"/>
    <w:rsid w:val="008706A5"/>
    <w:rsid w:val="008E259B"/>
    <w:rsid w:val="0097723D"/>
    <w:rsid w:val="009962D3"/>
    <w:rsid w:val="009A4CD6"/>
    <w:rsid w:val="009F27B8"/>
    <w:rsid w:val="00A511EB"/>
    <w:rsid w:val="00A91659"/>
    <w:rsid w:val="00AA0AF6"/>
    <w:rsid w:val="00B324BB"/>
    <w:rsid w:val="00BF5137"/>
    <w:rsid w:val="00C90BC8"/>
    <w:rsid w:val="00CA7EFC"/>
    <w:rsid w:val="00D742EC"/>
    <w:rsid w:val="00DE6DED"/>
    <w:rsid w:val="00E2050C"/>
    <w:rsid w:val="00E37E27"/>
    <w:rsid w:val="00E51E1E"/>
    <w:rsid w:val="00F156C8"/>
    <w:rsid w:val="00FD10D3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0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F47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3A2B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inespaciado">
    <w:name w:val="No Spacing"/>
    <w:uiPriority w:val="1"/>
    <w:qFormat/>
    <w:rsid w:val="00124AD3"/>
    <w:pPr>
      <w:spacing w:after="0" w:line="240" w:lineRule="auto"/>
    </w:pPr>
  </w:style>
  <w:style w:type="table" w:styleId="Listamedia1-nfasis2">
    <w:name w:val="Medium List 1 Accent 2"/>
    <w:basedOn w:val="Tablanormal"/>
    <w:uiPriority w:val="65"/>
    <w:rsid w:val="00BF51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BF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1">
    <w:name w:val="Lista vistosa1"/>
    <w:basedOn w:val="Tablanormal"/>
    <w:uiPriority w:val="72"/>
    <w:rsid w:val="00197F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9DF20-F094-4AD3-89B9-7B7E9BD2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7</cp:revision>
  <dcterms:created xsi:type="dcterms:W3CDTF">2022-01-26T17:13:00Z</dcterms:created>
  <dcterms:modified xsi:type="dcterms:W3CDTF">2022-05-14T01:32:00Z</dcterms:modified>
</cp:coreProperties>
</file>